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4CCC9" w14:textId="77777777" w:rsidR="0031118C" w:rsidRDefault="0031118C" w:rsidP="0031118C">
      <w:pPr>
        <w:spacing w:line="240" w:lineRule="auto"/>
        <w:ind w:left="0" w:hanging="2"/>
        <w:rPr>
          <w:rFonts w:ascii="Lato" w:eastAsia="Lato" w:hAnsi="Lato" w:cs="Lato"/>
          <w:b/>
          <w:position w:val="0"/>
          <w:lang w:val="nl-NL" w:eastAsia="nl-BE"/>
        </w:rPr>
      </w:pPr>
      <w:r>
        <w:rPr>
          <w:rFonts w:ascii="Lato" w:eastAsia="Lato" w:hAnsi="Lato" w:cs="Lato"/>
          <w:b/>
          <w:lang w:val="nl-NL"/>
        </w:rPr>
        <w:t>BUSINESS CASE   – Oxfam Fair Trade</w:t>
      </w:r>
    </w:p>
    <w:p w14:paraId="1DF10640" w14:textId="77777777" w:rsidR="0031118C" w:rsidRDefault="0031118C" w:rsidP="0031118C">
      <w:pPr>
        <w:tabs>
          <w:tab w:val="left" w:pos="1800"/>
        </w:tabs>
        <w:spacing w:line="240" w:lineRule="auto"/>
        <w:ind w:left="0" w:hanging="2"/>
        <w:rPr>
          <w:rFonts w:ascii="Calibri" w:eastAsia="Calibri" w:hAnsi="Calibri" w:cs="Calibri"/>
          <w:sz w:val="22"/>
          <w:szCs w:val="22"/>
          <w:lang w:val="nl-NL"/>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080"/>
      </w:tblGrid>
      <w:tr w:rsidR="0031118C" w14:paraId="42616C5C" w14:textId="77777777" w:rsidTr="0031118C">
        <w:tc>
          <w:tcPr>
            <w:tcW w:w="1980" w:type="dxa"/>
            <w:tcBorders>
              <w:top w:val="single" w:sz="4" w:space="0" w:color="000000"/>
              <w:left w:val="single" w:sz="4" w:space="0" w:color="000000"/>
              <w:bottom w:val="single" w:sz="4" w:space="0" w:color="000000"/>
              <w:right w:val="single" w:sz="4" w:space="0" w:color="000000"/>
            </w:tcBorders>
            <w:hideMark/>
          </w:tcPr>
          <w:p w14:paraId="428986D0" w14:textId="77777777" w:rsidR="0031118C" w:rsidRDefault="0031118C">
            <w:pPr>
              <w:spacing w:before="80" w:after="80"/>
              <w:ind w:left="0" w:hanging="2"/>
              <w:jc w:val="both"/>
              <w:rPr>
                <w:rFonts w:ascii="Calibri" w:eastAsia="Calibri" w:hAnsi="Calibri" w:cs="Calibri"/>
                <w:lang w:val="nl-NL"/>
              </w:rPr>
            </w:pPr>
            <w:r>
              <w:rPr>
                <w:rFonts w:ascii="Calibri" w:eastAsia="Calibri" w:hAnsi="Calibri" w:cs="Calibri"/>
                <w:lang w:val="nl-NL"/>
              </w:rPr>
              <w:t>Title case</w:t>
            </w:r>
          </w:p>
        </w:tc>
        <w:tc>
          <w:tcPr>
            <w:tcW w:w="7082" w:type="dxa"/>
            <w:tcBorders>
              <w:top w:val="single" w:sz="4" w:space="0" w:color="000000"/>
              <w:left w:val="single" w:sz="4" w:space="0" w:color="000000"/>
              <w:bottom w:val="single" w:sz="4" w:space="0" w:color="000000"/>
              <w:right w:val="single" w:sz="4" w:space="0" w:color="000000"/>
            </w:tcBorders>
            <w:hideMark/>
          </w:tcPr>
          <w:p w14:paraId="3105B0EE" w14:textId="77777777" w:rsidR="0031118C" w:rsidRDefault="0031118C">
            <w:pPr>
              <w:spacing w:before="80" w:after="80"/>
              <w:ind w:left="0" w:hanging="2"/>
              <w:jc w:val="both"/>
              <w:rPr>
                <w:rFonts w:ascii="Calibri" w:eastAsia="Calibri" w:hAnsi="Calibri" w:cs="Calibri"/>
                <w:lang w:val="nl-NL"/>
              </w:rPr>
            </w:pPr>
            <w:r>
              <w:rPr>
                <w:rFonts w:ascii="Calibri" w:eastAsia="Calibri" w:hAnsi="Calibri" w:cs="Calibri"/>
                <w:lang w:val="nl-NL"/>
              </w:rPr>
              <w:t>Sustainable Food Marketing</w:t>
            </w:r>
          </w:p>
        </w:tc>
      </w:tr>
      <w:tr w:rsidR="0031118C" w14:paraId="5ECE739C" w14:textId="77777777" w:rsidTr="0031118C">
        <w:tc>
          <w:tcPr>
            <w:tcW w:w="1980" w:type="dxa"/>
            <w:tcBorders>
              <w:top w:val="single" w:sz="4" w:space="0" w:color="000000"/>
              <w:left w:val="single" w:sz="4" w:space="0" w:color="000000"/>
              <w:bottom w:val="single" w:sz="4" w:space="0" w:color="000000"/>
              <w:right w:val="single" w:sz="4" w:space="0" w:color="000000"/>
            </w:tcBorders>
            <w:hideMark/>
          </w:tcPr>
          <w:p w14:paraId="2E86CD5B" w14:textId="77777777" w:rsidR="0031118C" w:rsidRDefault="0031118C">
            <w:pPr>
              <w:spacing w:before="80" w:after="80"/>
              <w:ind w:left="0" w:hanging="2"/>
              <w:jc w:val="both"/>
              <w:rPr>
                <w:rFonts w:ascii="Calibri" w:eastAsia="Calibri" w:hAnsi="Calibri" w:cs="Calibri"/>
                <w:lang w:val="nl-NL"/>
              </w:rPr>
            </w:pPr>
            <w:r>
              <w:rPr>
                <w:rFonts w:ascii="Calibri" w:eastAsia="Calibri" w:hAnsi="Calibri" w:cs="Calibri"/>
                <w:lang w:val="nl-NL"/>
              </w:rPr>
              <w:t>Central question</w:t>
            </w:r>
          </w:p>
        </w:tc>
        <w:tc>
          <w:tcPr>
            <w:tcW w:w="7082" w:type="dxa"/>
            <w:tcBorders>
              <w:top w:val="single" w:sz="4" w:space="0" w:color="000000"/>
              <w:left w:val="single" w:sz="4" w:space="0" w:color="000000"/>
              <w:bottom w:val="single" w:sz="4" w:space="0" w:color="000000"/>
              <w:right w:val="single" w:sz="4" w:space="0" w:color="000000"/>
            </w:tcBorders>
            <w:hideMark/>
          </w:tcPr>
          <w:p w14:paraId="0480DDED" w14:textId="77777777" w:rsidR="0031118C" w:rsidRDefault="0031118C">
            <w:pPr>
              <w:spacing w:before="80" w:after="80"/>
              <w:ind w:left="0" w:hanging="2"/>
              <w:jc w:val="both"/>
              <w:rPr>
                <w:rFonts w:ascii="Calibri" w:eastAsia="Calibri" w:hAnsi="Calibri" w:cs="Calibri"/>
                <w:lang w:val="nl-NL"/>
              </w:rPr>
            </w:pPr>
            <w:r>
              <w:rPr>
                <w:rFonts w:ascii="Calibri" w:eastAsia="Calibri" w:hAnsi="Calibri" w:cs="Calibri"/>
                <w:lang w:val="nl-NL"/>
              </w:rPr>
              <w:t>How to motivate customers to buy sustainable food?</w:t>
            </w:r>
          </w:p>
        </w:tc>
      </w:tr>
      <w:tr w:rsidR="0031118C" w14:paraId="273F6365" w14:textId="77777777" w:rsidTr="0031118C">
        <w:tc>
          <w:tcPr>
            <w:tcW w:w="1980" w:type="dxa"/>
            <w:tcBorders>
              <w:top w:val="single" w:sz="4" w:space="0" w:color="000000"/>
              <w:left w:val="single" w:sz="4" w:space="0" w:color="000000"/>
              <w:bottom w:val="single" w:sz="4" w:space="0" w:color="000000"/>
              <w:right w:val="single" w:sz="4" w:space="0" w:color="000000"/>
            </w:tcBorders>
            <w:hideMark/>
          </w:tcPr>
          <w:p w14:paraId="31360F73" w14:textId="77777777" w:rsidR="0031118C" w:rsidRDefault="0031118C">
            <w:pPr>
              <w:spacing w:before="80" w:after="80"/>
              <w:ind w:left="0" w:hanging="2"/>
              <w:jc w:val="both"/>
              <w:rPr>
                <w:rFonts w:ascii="Calibri" w:eastAsia="Calibri" w:hAnsi="Calibri" w:cs="Calibri"/>
                <w:lang w:val="nl-NL"/>
              </w:rPr>
            </w:pPr>
            <w:r>
              <w:rPr>
                <w:rFonts w:ascii="Calibri" w:eastAsia="Calibri" w:hAnsi="Calibri" w:cs="Calibri"/>
                <w:lang w:val="nl-NL"/>
              </w:rPr>
              <w:t>Company name</w:t>
            </w:r>
          </w:p>
        </w:tc>
        <w:tc>
          <w:tcPr>
            <w:tcW w:w="7082" w:type="dxa"/>
            <w:tcBorders>
              <w:top w:val="single" w:sz="4" w:space="0" w:color="000000"/>
              <w:left w:val="single" w:sz="4" w:space="0" w:color="000000"/>
              <w:bottom w:val="single" w:sz="4" w:space="0" w:color="000000"/>
              <w:right w:val="single" w:sz="4" w:space="0" w:color="000000"/>
            </w:tcBorders>
            <w:hideMark/>
          </w:tcPr>
          <w:p w14:paraId="01FB7836" w14:textId="77777777" w:rsidR="0031118C" w:rsidRDefault="0031118C">
            <w:pPr>
              <w:spacing w:before="80" w:after="80"/>
              <w:ind w:left="0" w:hanging="2"/>
              <w:jc w:val="both"/>
              <w:rPr>
                <w:rFonts w:ascii="Calibri" w:eastAsia="Calibri" w:hAnsi="Calibri" w:cs="Calibri"/>
                <w:lang w:val="nl-NL"/>
              </w:rPr>
            </w:pPr>
            <w:r>
              <w:rPr>
                <w:rFonts w:ascii="Calibri" w:eastAsia="Calibri" w:hAnsi="Calibri" w:cs="Calibri"/>
                <w:lang w:val="nl-NL"/>
              </w:rPr>
              <w:t xml:space="preserve">Oxfam Fair Trade </w:t>
            </w:r>
          </w:p>
        </w:tc>
      </w:tr>
      <w:tr w:rsidR="0031118C" w14:paraId="7D40A42C" w14:textId="77777777" w:rsidTr="0031118C">
        <w:tc>
          <w:tcPr>
            <w:tcW w:w="1980" w:type="dxa"/>
            <w:tcBorders>
              <w:top w:val="single" w:sz="4" w:space="0" w:color="000000"/>
              <w:left w:val="single" w:sz="4" w:space="0" w:color="000000"/>
              <w:bottom w:val="single" w:sz="4" w:space="0" w:color="000000"/>
              <w:right w:val="single" w:sz="4" w:space="0" w:color="000000"/>
            </w:tcBorders>
            <w:hideMark/>
          </w:tcPr>
          <w:p w14:paraId="45D4E0E0" w14:textId="77777777" w:rsidR="0031118C" w:rsidRDefault="0031118C">
            <w:pPr>
              <w:spacing w:before="80" w:after="80"/>
              <w:ind w:left="0" w:hanging="2"/>
              <w:jc w:val="both"/>
              <w:rPr>
                <w:rFonts w:ascii="Calibri" w:eastAsia="Calibri" w:hAnsi="Calibri" w:cs="Calibri"/>
                <w:lang w:val="nl-NL"/>
              </w:rPr>
            </w:pPr>
            <w:r>
              <w:rPr>
                <w:rFonts w:ascii="Calibri" w:eastAsia="Calibri" w:hAnsi="Calibri" w:cs="Calibri"/>
                <w:lang w:val="nl-NL"/>
              </w:rPr>
              <w:t>Context</w:t>
            </w:r>
          </w:p>
        </w:tc>
        <w:tc>
          <w:tcPr>
            <w:tcW w:w="7082" w:type="dxa"/>
            <w:tcBorders>
              <w:top w:val="single" w:sz="4" w:space="0" w:color="000000"/>
              <w:left w:val="single" w:sz="4" w:space="0" w:color="000000"/>
              <w:bottom w:val="single" w:sz="4" w:space="0" w:color="000000"/>
              <w:right w:val="single" w:sz="4" w:space="0" w:color="000000"/>
            </w:tcBorders>
            <w:hideMark/>
          </w:tcPr>
          <w:p w14:paraId="12C3D149" w14:textId="77777777" w:rsidR="0031118C" w:rsidRDefault="0031118C">
            <w:pPr>
              <w:spacing w:before="80" w:after="80"/>
              <w:ind w:left="0" w:hanging="2"/>
              <w:jc w:val="both"/>
              <w:rPr>
                <w:rFonts w:ascii="Calibri" w:eastAsia="Calibri" w:hAnsi="Calibri" w:cs="Calibri"/>
                <w:lang w:val="nl-NL"/>
              </w:rPr>
            </w:pPr>
            <w:r>
              <w:rPr>
                <w:rFonts w:ascii="Calibri" w:eastAsia="Calibri" w:hAnsi="Calibri" w:cs="Calibri"/>
                <w:lang w:val="nl-NL"/>
              </w:rPr>
              <w:t>Oxfam Fair Trade imports, promotes and sells fair trade products through different channels: through its partner organisation Oxfam World Shops but also through direct B2B sales and traditional Retailers.</w:t>
            </w:r>
          </w:p>
        </w:tc>
      </w:tr>
      <w:tr w:rsidR="0031118C" w14:paraId="7C3A3C3A" w14:textId="77777777" w:rsidTr="0031118C">
        <w:tc>
          <w:tcPr>
            <w:tcW w:w="1980" w:type="dxa"/>
            <w:tcBorders>
              <w:top w:val="single" w:sz="4" w:space="0" w:color="000000"/>
              <w:left w:val="single" w:sz="4" w:space="0" w:color="000000"/>
              <w:bottom w:val="single" w:sz="4" w:space="0" w:color="000000"/>
              <w:right w:val="single" w:sz="4" w:space="0" w:color="000000"/>
            </w:tcBorders>
            <w:hideMark/>
          </w:tcPr>
          <w:p w14:paraId="33E73734" w14:textId="77777777" w:rsidR="0031118C" w:rsidRDefault="0031118C">
            <w:pPr>
              <w:spacing w:before="80" w:after="80"/>
              <w:ind w:left="0" w:hanging="2"/>
              <w:jc w:val="both"/>
              <w:rPr>
                <w:rFonts w:ascii="Calibri" w:eastAsia="Calibri" w:hAnsi="Calibri" w:cs="Calibri"/>
                <w:lang w:val="nl-NL"/>
              </w:rPr>
            </w:pPr>
            <w:r>
              <w:rPr>
                <w:rFonts w:ascii="Calibri" w:eastAsia="Calibri" w:hAnsi="Calibri" w:cs="Calibri"/>
                <w:lang w:val="nl-NL"/>
              </w:rPr>
              <w:t>Description of the case</w:t>
            </w:r>
          </w:p>
        </w:tc>
        <w:tc>
          <w:tcPr>
            <w:tcW w:w="7082" w:type="dxa"/>
            <w:tcBorders>
              <w:top w:val="single" w:sz="4" w:space="0" w:color="000000"/>
              <w:left w:val="single" w:sz="4" w:space="0" w:color="000000"/>
              <w:bottom w:val="single" w:sz="4" w:space="0" w:color="000000"/>
              <w:right w:val="single" w:sz="4" w:space="0" w:color="000000"/>
            </w:tcBorders>
            <w:hideMark/>
          </w:tcPr>
          <w:p w14:paraId="483D8C40" w14:textId="77777777" w:rsidR="0031118C" w:rsidRDefault="0031118C">
            <w:pPr>
              <w:spacing w:before="80" w:after="80"/>
              <w:ind w:left="0" w:hanging="2"/>
              <w:jc w:val="both"/>
              <w:rPr>
                <w:rFonts w:ascii="Calibri" w:eastAsia="Calibri" w:hAnsi="Calibri" w:cs="Calibri"/>
                <w:lang w:val="nl-NL"/>
              </w:rPr>
            </w:pPr>
            <w:r>
              <w:rPr>
                <w:rFonts w:ascii="Calibri" w:eastAsia="Calibri" w:hAnsi="Calibri" w:cs="Calibri"/>
                <w:lang w:val="nl-NL"/>
              </w:rPr>
              <w:t xml:space="preserve">Oxfam considers fair trade as a lever for structural development in the South. Of course we pay a fair price to our producers. But did you know that they receive a fair trade premium on top of that? They spend this money on projects that benefit their whole community. Oxfam Fair Trade guarantees a long-term collaboration to the cooperatives. And they can count on support and advice in various areas (technical, financial, organizational, etc.). Because ultimately, our goal is a strong market position for producers, and two strong feet for them to stand on. Moreover, we raise awareness on fair trade among consumers, businesses and governments. Fair trade is an ecologically sustainable choice also. For not only a fair price gives hope for a better future, the way we treat our planet and our raw materials counts as well. Over 40 percent of our products have organic certification.  </w:t>
            </w:r>
          </w:p>
        </w:tc>
      </w:tr>
      <w:tr w:rsidR="0031118C" w14:paraId="0770174D" w14:textId="77777777" w:rsidTr="0031118C">
        <w:tc>
          <w:tcPr>
            <w:tcW w:w="1980" w:type="dxa"/>
            <w:tcBorders>
              <w:top w:val="single" w:sz="4" w:space="0" w:color="000000"/>
              <w:left w:val="single" w:sz="4" w:space="0" w:color="000000"/>
              <w:bottom w:val="single" w:sz="4" w:space="0" w:color="000000"/>
              <w:right w:val="single" w:sz="4" w:space="0" w:color="000000"/>
            </w:tcBorders>
            <w:hideMark/>
          </w:tcPr>
          <w:p w14:paraId="61257A20" w14:textId="77777777" w:rsidR="0031118C" w:rsidRDefault="0031118C">
            <w:pPr>
              <w:spacing w:before="80" w:after="80"/>
              <w:ind w:left="0" w:hanging="2"/>
              <w:jc w:val="both"/>
              <w:rPr>
                <w:rFonts w:ascii="Calibri" w:eastAsia="Calibri" w:hAnsi="Calibri" w:cs="Calibri"/>
                <w:lang w:val="nl-NL"/>
              </w:rPr>
            </w:pPr>
            <w:r>
              <w:rPr>
                <w:rFonts w:ascii="Calibri" w:eastAsia="Calibri" w:hAnsi="Calibri" w:cs="Calibri"/>
                <w:lang w:val="nl-NL"/>
              </w:rPr>
              <w:t>Motive of the case</w:t>
            </w:r>
          </w:p>
        </w:tc>
        <w:tc>
          <w:tcPr>
            <w:tcW w:w="7082" w:type="dxa"/>
            <w:tcBorders>
              <w:top w:val="single" w:sz="4" w:space="0" w:color="000000"/>
              <w:left w:val="single" w:sz="4" w:space="0" w:color="000000"/>
              <w:bottom w:val="single" w:sz="4" w:space="0" w:color="000000"/>
              <w:right w:val="single" w:sz="4" w:space="0" w:color="000000"/>
            </w:tcBorders>
            <w:hideMark/>
          </w:tcPr>
          <w:p w14:paraId="75CAFD9B" w14:textId="77777777" w:rsidR="0031118C" w:rsidRDefault="0031118C">
            <w:pPr>
              <w:spacing w:before="80" w:after="80"/>
              <w:ind w:left="0" w:hanging="2"/>
              <w:jc w:val="both"/>
              <w:rPr>
                <w:rFonts w:ascii="Calibri" w:eastAsia="Calibri" w:hAnsi="Calibri" w:cs="Calibri"/>
                <w:lang w:val="nl-NL"/>
              </w:rPr>
            </w:pPr>
            <w:r>
              <w:rPr>
                <w:rFonts w:ascii="Calibri" w:eastAsia="Calibri" w:hAnsi="Calibri" w:cs="Calibri"/>
                <w:lang w:val="nl-NL"/>
              </w:rPr>
              <w:t>Today’s consumers are more and more interested in sustainability aspects when making their food choices, however there still remains a large gap between the average consumer’s attitude and his behavior.  At Oxfam Fair Trade sustainability is at the heart of our business however we notice that our sales is not always benefiting from the sustainability trend with consumers as more mainstream brands are also incorporating the theme in their product placement.  Unfortunately, many of these do not deliver true sustainability in all aspects and this results in a shopper who is confused and does not know what to trust when making his choices. How to make the shopper of the future choose for more sustainable food products?</w:t>
            </w:r>
          </w:p>
        </w:tc>
      </w:tr>
      <w:tr w:rsidR="0031118C" w14:paraId="667E3441" w14:textId="77777777" w:rsidTr="0031118C">
        <w:tc>
          <w:tcPr>
            <w:tcW w:w="1980" w:type="dxa"/>
            <w:tcBorders>
              <w:top w:val="single" w:sz="4" w:space="0" w:color="000000"/>
              <w:left w:val="single" w:sz="4" w:space="0" w:color="000000"/>
              <w:bottom w:val="single" w:sz="4" w:space="0" w:color="000000"/>
              <w:right w:val="single" w:sz="4" w:space="0" w:color="000000"/>
            </w:tcBorders>
            <w:hideMark/>
          </w:tcPr>
          <w:p w14:paraId="723A9F57" w14:textId="77777777" w:rsidR="0031118C" w:rsidRDefault="0031118C">
            <w:pPr>
              <w:spacing w:before="80" w:after="80"/>
              <w:ind w:left="0" w:hanging="2"/>
              <w:jc w:val="both"/>
              <w:rPr>
                <w:rFonts w:ascii="Calibri" w:eastAsia="Calibri" w:hAnsi="Calibri" w:cs="Calibri"/>
                <w:lang w:val="nl-NL"/>
              </w:rPr>
            </w:pPr>
            <w:r>
              <w:rPr>
                <w:rFonts w:ascii="Calibri" w:eastAsia="Calibri" w:hAnsi="Calibri" w:cs="Calibri"/>
                <w:lang w:val="nl-NL"/>
              </w:rPr>
              <w:t>Future goal</w:t>
            </w:r>
          </w:p>
        </w:tc>
        <w:tc>
          <w:tcPr>
            <w:tcW w:w="7082" w:type="dxa"/>
            <w:tcBorders>
              <w:top w:val="single" w:sz="4" w:space="0" w:color="000000"/>
              <w:left w:val="single" w:sz="4" w:space="0" w:color="000000"/>
              <w:bottom w:val="single" w:sz="4" w:space="0" w:color="000000"/>
              <w:right w:val="single" w:sz="4" w:space="0" w:color="000000"/>
            </w:tcBorders>
            <w:hideMark/>
          </w:tcPr>
          <w:p w14:paraId="4DFFB98D" w14:textId="77777777" w:rsidR="0031118C" w:rsidRDefault="0031118C">
            <w:pPr>
              <w:spacing w:before="80" w:after="80"/>
              <w:ind w:left="0" w:hanging="2"/>
              <w:jc w:val="both"/>
              <w:rPr>
                <w:rFonts w:ascii="Calibri" w:eastAsia="Calibri" w:hAnsi="Calibri" w:cs="Calibri"/>
                <w:lang w:val="nl-NL"/>
              </w:rPr>
            </w:pPr>
            <w:r>
              <w:rPr>
                <w:rFonts w:ascii="Calibri" w:eastAsia="Calibri" w:hAnsi="Calibri" w:cs="Calibri"/>
                <w:lang w:val="nl-NL"/>
              </w:rPr>
              <w:t>Through the success of our products and awareness efforts we want to drive change in the food industry in a way that removes trade injustices and enable increased sustainability through the entire chain.</w:t>
            </w:r>
          </w:p>
        </w:tc>
      </w:tr>
      <w:tr w:rsidR="0031118C" w14:paraId="39FF5AB6" w14:textId="77777777" w:rsidTr="0031118C">
        <w:tc>
          <w:tcPr>
            <w:tcW w:w="1980" w:type="dxa"/>
            <w:tcBorders>
              <w:top w:val="single" w:sz="4" w:space="0" w:color="000000"/>
              <w:left w:val="single" w:sz="4" w:space="0" w:color="000000"/>
              <w:bottom w:val="single" w:sz="4" w:space="0" w:color="000000"/>
              <w:right w:val="single" w:sz="4" w:space="0" w:color="000000"/>
            </w:tcBorders>
          </w:tcPr>
          <w:p w14:paraId="12A7A03F" w14:textId="77777777" w:rsidR="0031118C" w:rsidRDefault="0031118C">
            <w:pPr>
              <w:spacing w:before="80" w:after="80"/>
              <w:ind w:left="0" w:hanging="2"/>
              <w:jc w:val="both"/>
              <w:rPr>
                <w:rFonts w:ascii="Calibri" w:eastAsia="Calibri" w:hAnsi="Calibri" w:cs="Calibri"/>
                <w:lang w:val="nl-NL"/>
              </w:rPr>
            </w:pPr>
            <w:r>
              <w:rPr>
                <w:rFonts w:ascii="Calibri" w:eastAsia="Calibri" w:hAnsi="Calibri" w:cs="Calibri"/>
                <w:lang w:val="nl-NL"/>
              </w:rPr>
              <w:t>Limitations</w:t>
            </w:r>
          </w:p>
          <w:p w14:paraId="43BB4350" w14:textId="77777777" w:rsidR="0031118C" w:rsidRDefault="0031118C">
            <w:pPr>
              <w:spacing w:before="80" w:after="80"/>
              <w:ind w:left="0" w:hanging="2"/>
              <w:jc w:val="both"/>
              <w:rPr>
                <w:rFonts w:ascii="Calibri" w:eastAsia="Calibri" w:hAnsi="Calibri" w:cs="Calibri"/>
                <w:lang w:val="nl-NL"/>
              </w:rPr>
            </w:pPr>
          </w:p>
          <w:p w14:paraId="02123746" w14:textId="77777777" w:rsidR="0031118C" w:rsidRDefault="0031118C">
            <w:pPr>
              <w:spacing w:before="80" w:after="80"/>
              <w:ind w:left="0" w:hanging="2"/>
              <w:jc w:val="both"/>
              <w:rPr>
                <w:rFonts w:ascii="Calibri" w:eastAsia="Calibri" w:hAnsi="Calibri" w:cs="Calibri"/>
                <w:lang w:val="nl-NL"/>
              </w:rPr>
            </w:pPr>
          </w:p>
        </w:tc>
        <w:tc>
          <w:tcPr>
            <w:tcW w:w="7082" w:type="dxa"/>
            <w:tcBorders>
              <w:top w:val="single" w:sz="4" w:space="0" w:color="000000"/>
              <w:left w:val="single" w:sz="4" w:space="0" w:color="000000"/>
              <w:bottom w:val="single" w:sz="4" w:space="0" w:color="000000"/>
              <w:right w:val="single" w:sz="4" w:space="0" w:color="000000"/>
            </w:tcBorders>
            <w:hideMark/>
          </w:tcPr>
          <w:p w14:paraId="0FDF186D" w14:textId="77777777" w:rsidR="0031118C" w:rsidRDefault="0031118C">
            <w:pPr>
              <w:spacing w:before="80" w:after="80"/>
              <w:ind w:left="0" w:hanging="2"/>
              <w:jc w:val="both"/>
              <w:rPr>
                <w:rFonts w:ascii="Calibri" w:eastAsia="Calibri" w:hAnsi="Calibri" w:cs="Calibri"/>
                <w:lang w:val="nl-NL"/>
              </w:rPr>
            </w:pPr>
            <w:r>
              <w:rPr>
                <w:rFonts w:ascii="Calibri" w:eastAsia="Calibri" w:hAnsi="Calibri" w:cs="Calibri"/>
                <w:lang w:val="nl-NL"/>
              </w:rPr>
              <w:lastRenderedPageBreak/>
              <w:t>Confused shopper due to overload of information</w:t>
            </w:r>
          </w:p>
          <w:p w14:paraId="7CB8D694" w14:textId="77777777" w:rsidR="0031118C" w:rsidRDefault="0031118C">
            <w:pPr>
              <w:spacing w:before="80" w:after="80"/>
              <w:ind w:left="0" w:hanging="2"/>
              <w:jc w:val="both"/>
              <w:rPr>
                <w:rFonts w:ascii="Calibri" w:eastAsia="Calibri" w:hAnsi="Calibri" w:cs="Calibri"/>
                <w:lang w:val="nl-NL"/>
              </w:rPr>
            </w:pPr>
            <w:r>
              <w:rPr>
                <w:rFonts w:ascii="Calibri" w:eastAsia="Calibri" w:hAnsi="Calibri" w:cs="Calibri"/>
                <w:lang w:val="nl-NL"/>
              </w:rPr>
              <w:lastRenderedPageBreak/>
              <w:t>Political decision making at EU/International level that is hard to impact</w:t>
            </w:r>
          </w:p>
          <w:p w14:paraId="5A0CD976" w14:textId="77777777" w:rsidR="0031118C" w:rsidRDefault="0031118C">
            <w:pPr>
              <w:spacing w:before="80" w:after="80"/>
              <w:ind w:left="0" w:hanging="2"/>
              <w:jc w:val="both"/>
              <w:rPr>
                <w:rFonts w:ascii="Calibri" w:eastAsia="Calibri" w:hAnsi="Calibri" w:cs="Calibri"/>
                <w:lang w:val="nl-NL"/>
              </w:rPr>
            </w:pPr>
            <w:r>
              <w:rPr>
                <w:rFonts w:ascii="Calibri" w:eastAsia="Calibri" w:hAnsi="Calibri" w:cs="Calibri"/>
                <w:lang w:val="nl-NL"/>
              </w:rPr>
              <w:t>Strong competition from traditional industry players who want to maintain the status quo</w:t>
            </w:r>
          </w:p>
        </w:tc>
      </w:tr>
    </w:tbl>
    <w:p w14:paraId="1447BF9A" w14:textId="77777777" w:rsidR="0031118C" w:rsidRDefault="0031118C" w:rsidP="0031118C">
      <w:pPr>
        <w:spacing w:after="60" w:line="360" w:lineRule="auto"/>
        <w:ind w:left="0" w:hanging="2"/>
        <w:rPr>
          <w:rFonts w:ascii="Calibri" w:eastAsia="Calibri" w:hAnsi="Calibri" w:cs="Calibri"/>
          <w:b/>
          <w:sz w:val="22"/>
          <w:szCs w:val="22"/>
          <w:lang w:val="nl-NL"/>
        </w:rPr>
      </w:pPr>
    </w:p>
    <w:p w14:paraId="2E0D0088" w14:textId="1F8E355D" w:rsidR="0031118C" w:rsidRPr="0031118C" w:rsidRDefault="0031118C" w:rsidP="0031118C">
      <w:pPr>
        <w:ind w:left="0" w:hanging="2"/>
      </w:pPr>
      <w:r>
        <w:rPr>
          <w:rFonts w:ascii="Calibri" w:eastAsia="Calibri" w:hAnsi="Calibri" w:cs="Calibri"/>
        </w:rPr>
        <w:t>Author: Sebastiaan Boussauw</w:t>
      </w:r>
    </w:p>
    <w:sectPr w:rsidR="0031118C" w:rsidRPr="0031118C">
      <w:headerReference w:type="default" r:id="rId7"/>
      <w:footerReference w:type="default" r:id="rId8"/>
      <w:pgSz w:w="11906" w:h="16838"/>
      <w:pgMar w:top="2268" w:right="851" w:bottom="1701" w:left="851" w:header="567" w:footer="17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D1E6E" w14:textId="77777777" w:rsidR="00E77983" w:rsidRDefault="00E77983">
      <w:pPr>
        <w:spacing w:line="240" w:lineRule="auto"/>
        <w:ind w:left="0" w:hanging="2"/>
      </w:pPr>
      <w:r>
        <w:separator/>
      </w:r>
    </w:p>
  </w:endnote>
  <w:endnote w:type="continuationSeparator" w:id="0">
    <w:p w14:paraId="19F01A71" w14:textId="77777777" w:rsidR="00E77983" w:rsidRDefault="00E7798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1A913" w14:textId="77777777" w:rsidR="00276F8A" w:rsidRDefault="00276F8A">
    <w:pPr>
      <w:widowControl w:val="0"/>
      <w:pBdr>
        <w:top w:val="nil"/>
        <w:left w:val="nil"/>
        <w:bottom w:val="nil"/>
        <w:right w:val="nil"/>
        <w:between w:val="nil"/>
      </w:pBdr>
      <w:spacing w:line="276" w:lineRule="auto"/>
      <w:ind w:left="0" w:hanging="2"/>
      <w:rPr>
        <w:color w:val="000000"/>
      </w:rPr>
    </w:pPr>
  </w:p>
  <w:tbl>
    <w:tblPr>
      <w:tblStyle w:val="a"/>
      <w:tblW w:w="10774" w:type="dxa"/>
      <w:tblInd w:w="-176" w:type="dxa"/>
      <w:tblLayout w:type="fixed"/>
      <w:tblLook w:val="0000" w:firstRow="0" w:lastRow="0" w:firstColumn="0" w:lastColumn="0" w:noHBand="0" w:noVBand="0"/>
    </w:tblPr>
    <w:tblGrid>
      <w:gridCol w:w="4962"/>
      <w:gridCol w:w="1418"/>
      <w:gridCol w:w="4394"/>
    </w:tblGrid>
    <w:tr w:rsidR="00276F8A" w14:paraId="2F95D45E" w14:textId="77777777">
      <w:trPr>
        <w:trHeight w:val="992"/>
      </w:trPr>
      <w:tc>
        <w:tcPr>
          <w:tcW w:w="4962" w:type="dxa"/>
          <w:tcMar>
            <w:left w:w="57" w:type="dxa"/>
            <w:right w:w="57" w:type="dxa"/>
          </w:tcMar>
          <w:vAlign w:val="center"/>
        </w:tcPr>
        <w:p w14:paraId="3D703437" w14:textId="77777777" w:rsidR="00276F8A" w:rsidRDefault="00E77983">
          <w:pPr>
            <w:pBdr>
              <w:top w:val="nil"/>
              <w:left w:val="nil"/>
              <w:bottom w:val="nil"/>
              <w:right w:val="nil"/>
              <w:between w:val="nil"/>
            </w:pBdr>
            <w:tabs>
              <w:tab w:val="center" w:pos="4252"/>
              <w:tab w:val="right" w:pos="8504"/>
            </w:tabs>
            <w:spacing w:line="240" w:lineRule="auto"/>
            <w:ind w:left="0" w:hanging="2"/>
            <w:rPr>
              <w:rFonts w:ascii="Arial" w:eastAsia="Arial" w:hAnsi="Arial" w:cs="Arial"/>
              <w:color w:val="005294"/>
              <w:sz w:val="8"/>
              <w:szCs w:val="8"/>
            </w:rPr>
          </w:pPr>
          <w:r>
            <w:rPr>
              <w:rFonts w:ascii="Arial" w:eastAsia="Arial" w:hAnsi="Arial" w:cs="Arial"/>
              <w:b/>
              <w:color w:val="005294"/>
              <w:sz w:val="16"/>
              <w:szCs w:val="16"/>
            </w:rPr>
            <w:t>Erasmus+</w:t>
          </w:r>
          <w:r>
            <w:rPr>
              <w:rFonts w:ascii="Arial" w:eastAsia="Arial" w:hAnsi="Arial" w:cs="Arial"/>
              <w:color w:val="005294"/>
              <w:sz w:val="16"/>
              <w:szCs w:val="16"/>
            </w:rPr>
            <w:t xml:space="preserve">  2019</w:t>
          </w:r>
          <w:r>
            <w:rPr>
              <w:rFonts w:ascii="Arial" w:eastAsia="Arial" w:hAnsi="Arial" w:cs="Arial"/>
              <w:color w:val="005294"/>
              <w:sz w:val="8"/>
              <w:szCs w:val="8"/>
            </w:rPr>
            <w:t xml:space="preserve"> </w:t>
          </w:r>
          <w:r>
            <w:rPr>
              <w:rFonts w:ascii="Arial" w:eastAsia="Arial" w:hAnsi="Arial" w:cs="Arial"/>
              <w:color w:val="005294"/>
              <w:sz w:val="16"/>
              <w:szCs w:val="16"/>
            </w:rPr>
            <w:t>-</w:t>
          </w:r>
          <w:r>
            <w:rPr>
              <w:rFonts w:ascii="Arial" w:eastAsia="Arial" w:hAnsi="Arial" w:cs="Arial"/>
              <w:color w:val="005294"/>
              <w:sz w:val="8"/>
              <w:szCs w:val="8"/>
            </w:rPr>
            <w:t xml:space="preserve"> </w:t>
          </w:r>
          <w:r>
            <w:rPr>
              <w:rFonts w:ascii="Arial" w:eastAsia="Arial" w:hAnsi="Arial" w:cs="Arial"/>
              <w:color w:val="005294"/>
              <w:sz w:val="16"/>
              <w:szCs w:val="16"/>
            </w:rPr>
            <w:t>1</w:t>
          </w:r>
          <w:r>
            <w:rPr>
              <w:rFonts w:ascii="Arial" w:eastAsia="Arial" w:hAnsi="Arial" w:cs="Arial"/>
              <w:color w:val="005294"/>
              <w:sz w:val="8"/>
              <w:szCs w:val="8"/>
            </w:rPr>
            <w:t xml:space="preserve"> </w:t>
          </w:r>
          <w:r>
            <w:rPr>
              <w:rFonts w:ascii="Arial" w:eastAsia="Arial" w:hAnsi="Arial" w:cs="Arial"/>
              <w:color w:val="005294"/>
              <w:sz w:val="16"/>
              <w:szCs w:val="16"/>
            </w:rPr>
            <w:t>-</w:t>
          </w:r>
          <w:r>
            <w:rPr>
              <w:rFonts w:ascii="Arial" w:eastAsia="Arial" w:hAnsi="Arial" w:cs="Arial"/>
              <w:color w:val="005294"/>
              <w:sz w:val="8"/>
              <w:szCs w:val="8"/>
            </w:rPr>
            <w:t xml:space="preserve"> </w:t>
          </w:r>
          <w:r>
            <w:rPr>
              <w:rFonts w:ascii="Arial" w:eastAsia="Arial" w:hAnsi="Arial" w:cs="Arial"/>
              <w:color w:val="005294"/>
              <w:sz w:val="16"/>
              <w:szCs w:val="16"/>
            </w:rPr>
            <w:t>ES01</w:t>
          </w:r>
          <w:r>
            <w:rPr>
              <w:rFonts w:ascii="Arial" w:eastAsia="Arial" w:hAnsi="Arial" w:cs="Arial"/>
              <w:color w:val="005294"/>
              <w:sz w:val="8"/>
              <w:szCs w:val="8"/>
            </w:rPr>
            <w:t xml:space="preserve"> </w:t>
          </w:r>
          <w:r>
            <w:rPr>
              <w:rFonts w:ascii="Arial" w:eastAsia="Arial" w:hAnsi="Arial" w:cs="Arial"/>
              <w:color w:val="005294"/>
              <w:sz w:val="16"/>
              <w:szCs w:val="16"/>
            </w:rPr>
            <w:t>-</w:t>
          </w:r>
          <w:r>
            <w:rPr>
              <w:rFonts w:ascii="Arial" w:eastAsia="Arial" w:hAnsi="Arial" w:cs="Arial"/>
              <w:color w:val="005294"/>
              <w:sz w:val="8"/>
              <w:szCs w:val="8"/>
            </w:rPr>
            <w:t xml:space="preserve"> </w:t>
          </w:r>
          <w:r>
            <w:rPr>
              <w:rFonts w:ascii="Arial" w:eastAsia="Arial" w:hAnsi="Arial" w:cs="Arial"/>
              <w:color w:val="005294"/>
              <w:sz w:val="16"/>
              <w:szCs w:val="16"/>
            </w:rPr>
            <w:t>KA202</w:t>
          </w:r>
          <w:r>
            <w:rPr>
              <w:rFonts w:ascii="Arial" w:eastAsia="Arial" w:hAnsi="Arial" w:cs="Arial"/>
              <w:color w:val="005294"/>
              <w:sz w:val="8"/>
              <w:szCs w:val="8"/>
            </w:rPr>
            <w:t xml:space="preserve"> </w:t>
          </w:r>
          <w:r>
            <w:rPr>
              <w:rFonts w:ascii="Arial" w:eastAsia="Arial" w:hAnsi="Arial" w:cs="Arial"/>
              <w:color w:val="005294"/>
              <w:sz w:val="16"/>
              <w:szCs w:val="16"/>
            </w:rPr>
            <w:t>-</w:t>
          </w:r>
          <w:r>
            <w:rPr>
              <w:rFonts w:ascii="Arial" w:eastAsia="Arial" w:hAnsi="Arial" w:cs="Arial"/>
              <w:color w:val="005294"/>
              <w:sz w:val="8"/>
              <w:szCs w:val="8"/>
            </w:rPr>
            <w:t xml:space="preserve"> </w:t>
          </w:r>
          <w:r>
            <w:rPr>
              <w:rFonts w:ascii="Arial" w:eastAsia="Arial" w:hAnsi="Arial" w:cs="Arial"/>
              <w:color w:val="005294"/>
              <w:sz w:val="16"/>
              <w:szCs w:val="16"/>
            </w:rPr>
            <w:t>064622</w:t>
          </w:r>
        </w:p>
        <w:p w14:paraId="148FF48E" w14:textId="77777777" w:rsidR="00276F8A" w:rsidRDefault="00276F8A">
          <w:pPr>
            <w:pBdr>
              <w:top w:val="nil"/>
              <w:left w:val="nil"/>
              <w:bottom w:val="nil"/>
              <w:right w:val="nil"/>
              <w:between w:val="nil"/>
            </w:pBdr>
            <w:tabs>
              <w:tab w:val="center" w:pos="4252"/>
              <w:tab w:val="right" w:pos="8504"/>
            </w:tabs>
            <w:spacing w:line="240" w:lineRule="auto"/>
            <w:rPr>
              <w:rFonts w:ascii="Arial" w:eastAsia="Arial" w:hAnsi="Arial" w:cs="Arial"/>
              <w:color w:val="005294"/>
              <w:sz w:val="8"/>
              <w:szCs w:val="8"/>
            </w:rPr>
          </w:pPr>
        </w:p>
        <w:p w14:paraId="71A5A581" w14:textId="77777777" w:rsidR="00276F8A" w:rsidRDefault="00E77983">
          <w:pPr>
            <w:pBdr>
              <w:top w:val="nil"/>
              <w:left w:val="nil"/>
              <w:bottom w:val="nil"/>
              <w:right w:val="nil"/>
              <w:between w:val="nil"/>
            </w:pBdr>
            <w:tabs>
              <w:tab w:val="center" w:pos="4252"/>
              <w:tab w:val="right" w:pos="8504"/>
            </w:tabs>
            <w:spacing w:line="240" w:lineRule="auto"/>
            <w:rPr>
              <w:sz w:val="20"/>
              <w:szCs w:val="20"/>
            </w:rPr>
          </w:pPr>
          <w:r>
            <w:rPr>
              <w:rFonts w:ascii="Arial" w:eastAsia="Arial" w:hAnsi="Arial" w:cs="Arial"/>
              <w:color w:val="005294"/>
              <w:sz w:val="15"/>
              <w:szCs w:val="15"/>
            </w:rPr>
            <w:t>KA202 - Strategic Partnerships for Vocational Education and Training</w:t>
          </w:r>
        </w:p>
        <w:p w14:paraId="7ACB2F5C" w14:textId="77777777" w:rsidR="00276F8A" w:rsidRDefault="00276F8A">
          <w:pPr>
            <w:pBdr>
              <w:top w:val="nil"/>
              <w:left w:val="nil"/>
              <w:bottom w:val="nil"/>
              <w:right w:val="nil"/>
              <w:between w:val="nil"/>
            </w:pBdr>
            <w:tabs>
              <w:tab w:val="center" w:pos="4252"/>
              <w:tab w:val="right" w:pos="8504"/>
            </w:tabs>
            <w:spacing w:line="240" w:lineRule="auto"/>
            <w:rPr>
              <w:rFonts w:ascii="Arial" w:eastAsia="Arial" w:hAnsi="Arial" w:cs="Arial"/>
              <w:color w:val="005294"/>
              <w:sz w:val="15"/>
              <w:szCs w:val="15"/>
            </w:rPr>
          </w:pPr>
        </w:p>
      </w:tc>
      <w:tc>
        <w:tcPr>
          <w:tcW w:w="1418" w:type="dxa"/>
          <w:tcMar>
            <w:left w:w="57" w:type="dxa"/>
            <w:right w:w="57" w:type="dxa"/>
          </w:tcMar>
          <w:vAlign w:val="center"/>
        </w:tcPr>
        <w:p w14:paraId="5FE4D308" w14:textId="77777777" w:rsidR="00276F8A" w:rsidRDefault="00276F8A">
          <w:pPr>
            <w:pBdr>
              <w:top w:val="nil"/>
              <w:left w:val="nil"/>
              <w:bottom w:val="nil"/>
              <w:right w:val="nil"/>
              <w:between w:val="nil"/>
            </w:pBdr>
            <w:tabs>
              <w:tab w:val="center" w:pos="4252"/>
              <w:tab w:val="right" w:pos="8504"/>
            </w:tabs>
            <w:spacing w:line="240" w:lineRule="auto"/>
            <w:ind w:left="0" w:hanging="2"/>
            <w:rPr>
              <w:color w:val="000000"/>
            </w:rPr>
          </w:pPr>
        </w:p>
      </w:tc>
      <w:tc>
        <w:tcPr>
          <w:tcW w:w="4394" w:type="dxa"/>
          <w:tcMar>
            <w:left w:w="57" w:type="dxa"/>
            <w:right w:w="57" w:type="dxa"/>
          </w:tcMar>
          <w:vAlign w:val="center"/>
        </w:tcPr>
        <w:p w14:paraId="6880C86C" w14:textId="77777777" w:rsidR="00276F8A" w:rsidRDefault="00276F8A">
          <w:pPr>
            <w:pBdr>
              <w:top w:val="nil"/>
              <w:left w:val="nil"/>
              <w:bottom w:val="nil"/>
              <w:right w:val="nil"/>
              <w:between w:val="nil"/>
            </w:pBdr>
            <w:tabs>
              <w:tab w:val="center" w:pos="4252"/>
              <w:tab w:val="right" w:pos="8504"/>
            </w:tabs>
            <w:spacing w:line="240" w:lineRule="auto"/>
            <w:jc w:val="right"/>
            <w:rPr>
              <w:color w:val="000000"/>
              <w:sz w:val="15"/>
              <w:szCs w:val="15"/>
            </w:rPr>
          </w:pPr>
        </w:p>
      </w:tc>
    </w:tr>
  </w:tbl>
  <w:p w14:paraId="2200DAAA" w14:textId="77777777" w:rsidR="00276F8A" w:rsidRDefault="00276F8A">
    <w:pPr>
      <w:pBdr>
        <w:top w:val="nil"/>
        <w:left w:val="nil"/>
        <w:bottom w:val="nil"/>
        <w:right w:val="nil"/>
        <w:between w:val="nil"/>
      </w:pBdr>
      <w:tabs>
        <w:tab w:val="center" w:pos="4252"/>
        <w:tab w:val="right" w:pos="8504"/>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12B5E" w14:textId="77777777" w:rsidR="00E77983" w:rsidRDefault="00E77983">
      <w:pPr>
        <w:spacing w:line="240" w:lineRule="auto"/>
        <w:ind w:left="0" w:hanging="2"/>
      </w:pPr>
      <w:r>
        <w:separator/>
      </w:r>
    </w:p>
  </w:footnote>
  <w:footnote w:type="continuationSeparator" w:id="0">
    <w:p w14:paraId="148BDEA1" w14:textId="77777777" w:rsidR="00E77983" w:rsidRDefault="00E7798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E4438" w14:textId="77777777" w:rsidR="00276F8A" w:rsidRDefault="00276F8A">
    <w:pPr>
      <w:pBdr>
        <w:top w:val="nil"/>
        <w:left w:val="nil"/>
        <w:bottom w:val="nil"/>
        <w:right w:val="nil"/>
        <w:between w:val="nil"/>
      </w:pBdr>
      <w:tabs>
        <w:tab w:val="center" w:pos="4252"/>
        <w:tab w:val="right" w:pos="8504"/>
      </w:tabs>
      <w:spacing w:line="240" w:lineRule="auto"/>
      <w:ind w:left="0" w:hanging="2"/>
      <w:rPr>
        <w:color w:val="000000"/>
      </w:rPr>
    </w:pPr>
  </w:p>
  <w:p w14:paraId="467BFA33" w14:textId="77777777" w:rsidR="00276F8A" w:rsidRDefault="00E77983">
    <w:pPr>
      <w:pBdr>
        <w:top w:val="nil"/>
        <w:left w:val="nil"/>
        <w:bottom w:val="nil"/>
        <w:right w:val="nil"/>
        <w:between w:val="nil"/>
      </w:pBdr>
      <w:tabs>
        <w:tab w:val="center" w:pos="4252"/>
        <w:tab w:val="right" w:pos="8504"/>
      </w:tabs>
      <w:spacing w:line="240" w:lineRule="auto"/>
      <w:ind w:left="0" w:hanging="2"/>
      <w:rPr>
        <w:color w:val="000000"/>
      </w:rPr>
    </w:pPr>
    <w:r>
      <w:rPr>
        <w:noProof/>
        <w:color w:val="000000"/>
      </w:rPr>
      <w:drawing>
        <wp:anchor distT="0" distB="0" distL="0" distR="0" simplePos="0" relativeHeight="251658240" behindDoc="0" locked="0" layoutInCell="1" hidden="0" allowOverlap="1" wp14:anchorId="5994C301" wp14:editId="3B09F087">
          <wp:simplePos x="0" y="0"/>
          <wp:positionH relativeFrom="page">
            <wp:align>center</wp:align>
          </wp:positionH>
          <wp:positionV relativeFrom="page">
            <wp:align>top</wp:align>
          </wp:positionV>
          <wp:extent cx="7555230" cy="1431925"/>
          <wp:effectExtent l="0" t="0" r="0" b="0"/>
          <wp:wrapSquare wrapText="bothSides" distT="0" distB="0" distL="0" distR="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55230" cy="14319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F8A"/>
    <w:rsid w:val="00276F8A"/>
    <w:rsid w:val="0031118C"/>
    <w:rsid w:val="00E7798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3B7C0"/>
  <w15:docId w15:val="{071E4FD3-B10B-446B-8356-09B9DA6F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line="1" w:lineRule="atLeast"/>
      <w:ind w:leftChars="-1" w:left="-1" w:hangingChars="1" w:hanging="1"/>
      <w:textDirection w:val="btLr"/>
      <w:textAlignment w:val="top"/>
      <w:outlineLvl w:val="0"/>
    </w:pPr>
    <w:rPr>
      <w:position w:val="-1"/>
      <w:lang w:eastAsia="es-ES"/>
    </w:rPr>
  </w:style>
  <w:style w:type="paragraph" w:styleId="Kop1">
    <w:name w:val="heading 1"/>
    <w:basedOn w:val="Standaard"/>
    <w:next w:val="Standaard"/>
    <w:uiPriority w:val="9"/>
    <w:qFormat/>
    <w:pPr>
      <w:keepNext/>
      <w:keepLines/>
      <w:spacing w:before="480" w:after="12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character" w:customStyle="1" w:styleId="Fuentedeprrafopredeter">
    <w:name w:val="Fuente de párrafo predeter."/>
    <w:rPr>
      <w:w w:val="100"/>
      <w:position w:val="-1"/>
      <w:effect w:val="none"/>
      <w:vertAlign w:val="baseline"/>
      <w:cs w:val="0"/>
      <w:em w:val="none"/>
    </w:rPr>
  </w:style>
  <w:style w:type="table" w:customStyle="1" w:styleId="Tablanormal">
    <w:name w:val="Tabla 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inlista">
    <w:name w:val="Sin lista"/>
  </w:style>
  <w:style w:type="paragraph" w:customStyle="1" w:styleId="Encabezado">
    <w:name w:val="Encabezado"/>
    <w:basedOn w:val="Standaard"/>
    <w:pPr>
      <w:tabs>
        <w:tab w:val="center" w:pos="4252"/>
        <w:tab w:val="right" w:pos="8504"/>
      </w:tabs>
    </w:pPr>
  </w:style>
  <w:style w:type="paragraph" w:customStyle="1" w:styleId="Piedepgina">
    <w:name w:val="Pie de página"/>
    <w:basedOn w:val="Standaard"/>
    <w:pPr>
      <w:tabs>
        <w:tab w:val="center" w:pos="4252"/>
        <w:tab w:val="right" w:pos="8504"/>
      </w:tabs>
    </w:pPr>
  </w:style>
  <w:style w:type="paragraph" w:customStyle="1" w:styleId="Sangradetdecuerpo">
    <w:name w:val="Sangría de t. de cuerpo"/>
    <w:basedOn w:val="Standaard"/>
    <w:pPr>
      <w:ind w:left="708" w:firstLine="708"/>
      <w:jc w:val="both"/>
    </w:pPr>
    <w:rPr>
      <w:rFonts w:ascii="Arial" w:hAnsi="Arial" w:cs="Arial"/>
      <w:sz w:val="28"/>
    </w:rPr>
  </w:style>
  <w:style w:type="paragraph" w:customStyle="1" w:styleId="Textodecuerpo">
    <w:name w:val="Texto de cuerpo"/>
    <w:basedOn w:val="Standaard"/>
    <w:pPr>
      <w:spacing w:after="120"/>
    </w:pPr>
  </w:style>
  <w:style w:type="character" w:customStyle="1" w:styleId="TextodecuerpoCar">
    <w:name w:val="Texto de cuerpo Car"/>
    <w:rPr>
      <w:w w:val="100"/>
      <w:position w:val="-1"/>
      <w:sz w:val="24"/>
      <w:effect w:val="none"/>
      <w:vertAlign w:val="baseline"/>
      <w:cs w:val="0"/>
      <w:em w:val="none"/>
    </w:rPr>
  </w:style>
  <w:style w:type="table" w:customStyle="1" w:styleId="Tablaconcuadrcula">
    <w:name w:val="Tabla con cuadrícula"/>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819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hQx1tAytJA5LhQ05fROIxjiJLw==">AMUW2mU0R1wBuDpEVOzPWuFG1pobLzDfM9Xb2/jyJhl1p7yD3jjgaHsgbZ0y+ptuFyERQ+ERsDoJw+6/ms+/dn1idSZ+FWW0GZufzp4igJ2EuGOsXDh95Dk=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2136</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Amycos</dc:creator>
  <cp:lastModifiedBy>Widad Touzani</cp:lastModifiedBy>
  <cp:revision>2</cp:revision>
  <dcterms:created xsi:type="dcterms:W3CDTF">2021-05-09T23:21:00Z</dcterms:created>
  <dcterms:modified xsi:type="dcterms:W3CDTF">2021-05-09T23:21:00Z</dcterms:modified>
</cp:coreProperties>
</file>